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Справка для СМИ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Ассоциация крестьянских (фермерских) хозяйств и сельскохозяйственных кооперативов России (АККОР) создана в январе 1990 года и является федеральной общественной структурой, объединяющей малые формы хозяйствования на селе.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ее состав входят 64 региональных союза и ассоциации, а также Движение сельских женщин России и Союз сельских кредитных кооперативов.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Более 30 лет АККОР выступает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защит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интересов малых сельхозтоваропроизводителей – крестьянских (фермерских), личных подсобных хозяйств и других форм.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Среди малых форм хозяйствования самым динамичным и эффективным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фермерский сектор.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Об этом убедительно говорят данные Росстата на протяжении многих лет.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последним данны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доля сельскохозяйственной продукции, производимой МФХ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составила в среднем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56,4%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общем объеме продукции отрасли. К примеру,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КФХ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объем производства валовой сельхозпродукции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составил 1185 млрд. рублей – с 2006 года 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вырос более чем в 10 раз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Малые формы хозяйствования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ежегодно увеличивают посевные площади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на их долю приходится около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Они производят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58% зерновых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почти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67% подсолнечника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более 72% мяса КРС, около 60% молока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(данные 2021 г.), значительные объемы картофеля, плодоовощной продукции.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Выращивают около 70% КРС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более 72% коров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94,5% овец и коз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крестьянские (фермерские) хозяйства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увеличили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посевные площади с 2006 года в 2 раза,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среднегодовой рост составил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около 850 тыс. 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Они увеличили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валовой объем зерновых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 период с 2012 года по 2022 год в 3 раза,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подсолнечника – в 2,8 раза.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Также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увеличили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поголовье КРС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 2006 года на 1807 тыс. голов,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2,6 раза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  <w:rtl w:val="0"/>
        </w:rPr>
        <w:t xml:space="preserve">Что сегодня беспокоит российских аграриев?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! Доходность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. Необходимо выровнять ситуацию, когда выросли затраты и упали цены.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! Малые объемы интервенционных закупок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и необходимость их грамотного регулирования.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! Доступность господдержки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для малых сельхозтоваропроизводителей.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обеспеченность сельхозтехникой и запчастями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избыточная отчетность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по грантам,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земельные вопросы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, проблемы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сбыта сельхозпродукции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рост тарифов на электроэнергию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highlight w:val="white"/>
          <w:u w:val="none"/>
          <w:vertAlign w:val="baseline"/>
          <w:rtl w:val="0"/>
        </w:rPr>
        <w:t xml:space="preserve">льготное подключение к электросетям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и пр.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Эти и многие другие вопросы будут рассмотрены 9-10 февраля на съезде российских фермеров.</w:t>
      </w:r>
    </w:p>
    <w:sectPr>
      <w:headerReference r:id="rId6" w:type="default"/>
      <w:headerReference r:id="rId7" w:type="even"/>
      <w:pgSz w:h="15840" w:w="12240" w:orient="portrait"/>
      <w:pgMar w:bottom="719" w:top="1258" w:left="16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